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67" w:rsidRDefault="00260467">
      <w:pPr>
        <w:spacing w:line="276" w:lineRule="auto"/>
        <w:jc w:val="center"/>
        <w:rPr>
          <w:rFonts w:ascii="標楷體" w:eastAsia="標楷體" w:hAnsi="標楷體" w:cs="標楷體"/>
          <w:b/>
          <w:sz w:val="32"/>
          <w:szCs w:val="32"/>
        </w:rPr>
      </w:pPr>
      <w:r>
        <w:rPr>
          <w:rFonts w:ascii="標楷體" w:eastAsia="標楷體" w:hAnsi="標楷體" w:cs="標楷體" w:hint="eastAsia"/>
          <w:b/>
          <w:color w:val="000000"/>
          <w:sz w:val="32"/>
          <w:szCs w:val="32"/>
        </w:rPr>
        <w:t>新竹市東園</w:t>
      </w:r>
      <w:r w:rsidR="00B10170" w:rsidRPr="00B10170">
        <w:rPr>
          <w:rFonts w:ascii="標楷體" w:eastAsia="標楷體" w:hAnsi="標楷體" w:cs="標楷體"/>
          <w:b/>
          <w:color w:val="000000"/>
          <w:sz w:val="32"/>
          <w:szCs w:val="32"/>
        </w:rPr>
        <w:t>國小</w:t>
      </w:r>
      <w:r w:rsidR="00B10170">
        <w:rPr>
          <w:rFonts w:ascii="標楷體" w:eastAsia="標楷體" w:hAnsi="標楷體" w:cs="標楷體" w:hint="eastAsia"/>
          <w:b/>
          <w:sz w:val="32"/>
          <w:szCs w:val="32"/>
        </w:rPr>
        <w:t>112學年貧困學生健檢異常追蹤</w:t>
      </w:r>
    </w:p>
    <w:p w:rsidR="00C52690" w:rsidRDefault="00B10170">
      <w:pPr>
        <w:spacing w:line="276" w:lineRule="auto"/>
        <w:jc w:val="center"/>
        <w:rPr>
          <w:rFonts w:ascii="標楷體" w:eastAsia="標楷體" w:hAnsi="標楷體" w:cs="標楷體"/>
          <w:b/>
          <w:sz w:val="32"/>
          <w:szCs w:val="32"/>
        </w:rPr>
      </w:pPr>
      <w:r>
        <w:rPr>
          <w:rFonts w:ascii="標楷體" w:eastAsia="標楷體" w:hAnsi="標楷體" w:cs="標楷體" w:hint="eastAsia"/>
          <w:b/>
          <w:sz w:val="32"/>
          <w:szCs w:val="32"/>
        </w:rPr>
        <w:t>矯治</w:t>
      </w:r>
      <w:r w:rsidR="00887F84">
        <w:rPr>
          <w:rFonts w:ascii="標楷體" w:eastAsia="標楷體" w:hAnsi="標楷體" w:cs="標楷體" w:hint="eastAsia"/>
          <w:b/>
          <w:sz w:val="32"/>
          <w:szCs w:val="32"/>
        </w:rPr>
        <w:t>健康管理成果</w:t>
      </w:r>
      <w:r w:rsidR="002F5704">
        <w:rPr>
          <w:rFonts w:ascii="標楷體" w:eastAsia="標楷體" w:hAnsi="標楷體" w:cs="標楷體"/>
          <w:b/>
          <w:sz w:val="32"/>
          <w:szCs w:val="32"/>
        </w:rPr>
        <w:t>報</w:t>
      </w:r>
      <w:r w:rsidR="002F5704">
        <w:rPr>
          <w:rFonts w:ascii="標楷體" w:eastAsia="標楷體" w:hAnsi="標楷體" w:cs="標楷體"/>
          <w:b/>
          <w:sz w:val="32"/>
          <w:szCs w:val="32"/>
        </w:rPr>
        <w:t>告</w:t>
      </w:r>
    </w:p>
    <w:tbl>
      <w:tblPr>
        <w:tblStyle w:val="ac"/>
        <w:tblW w:w="85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7545"/>
      </w:tblGrid>
      <w:tr w:rsidR="00C52690" w:rsidTr="00260467">
        <w:trPr>
          <w:cantSplit/>
          <w:trHeight w:val="819"/>
          <w:jc w:val="center"/>
        </w:trPr>
        <w:tc>
          <w:tcPr>
            <w:tcW w:w="988" w:type="dxa"/>
            <w:tcBorders>
              <w:bottom w:val="single" w:sz="4" w:space="0" w:color="000000"/>
            </w:tcBorders>
            <w:vAlign w:val="center"/>
          </w:tcPr>
          <w:p w:rsidR="00C52690" w:rsidRDefault="00260467">
            <w:pPr>
              <w:spacing w:line="400" w:lineRule="auto"/>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現況分析</w:t>
            </w:r>
          </w:p>
        </w:tc>
        <w:tc>
          <w:tcPr>
            <w:tcW w:w="7545" w:type="dxa"/>
            <w:vAlign w:val="center"/>
          </w:tcPr>
          <w:p w:rsidR="00344D13" w:rsidRPr="00BB5ABD" w:rsidRDefault="00887F84" w:rsidP="00344D13">
            <w:pPr>
              <w:pStyle w:val="ae"/>
              <w:numPr>
                <w:ilvl w:val="0"/>
                <w:numId w:val="1"/>
              </w:numPr>
              <w:spacing w:line="400" w:lineRule="auto"/>
              <w:ind w:leftChars="0"/>
              <w:rPr>
                <w:rFonts w:ascii="標楷體" w:eastAsia="標楷體" w:hAnsi="標楷體" w:cs="標楷體"/>
                <w:color w:val="000000"/>
                <w:sz w:val="27"/>
                <w:szCs w:val="27"/>
              </w:rPr>
            </w:pPr>
            <w:r w:rsidRPr="00BB5ABD">
              <w:rPr>
                <w:rFonts w:ascii="標楷體" w:eastAsia="標楷體" w:hAnsi="標楷體"/>
                <w:sz w:val="27"/>
                <w:szCs w:val="27"/>
              </w:rPr>
              <w:t>貧困學童多數因家庭經濟或照顧者問題，致對孩子健康問題較無暇重視及關注</w:t>
            </w:r>
            <w:r w:rsidRPr="00BB5ABD">
              <w:rPr>
                <w:rFonts w:ascii="標楷體" w:eastAsia="標楷體" w:hAnsi="標楷體" w:hint="eastAsia"/>
                <w:sz w:val="27"/>
                <w:szCs w:val="27"/>
              </w:rPr>
              <w:t>，對未來較缺乏期待與關注</w:t>
            </w:r>
            <w:r w:rsidRPr="00BB5ABD">
              <w:rPr>
                <w:rFonts w:ascii="標楷體" w:eastAsia="標楷體" w:hAnsi="標楷體"/>
                <w:sz w:val="27"/>
                <w:szCs w:val="27"/>
              </w:rPr>
              <w:t>。</w:t>
            </w:r>
            <w:r w:rsidRPr="00BB5ABD">
              <w:rPr>
                <w:rFonts w:ascii="標楷體" w:eastAsia="標楷體" w:hAnsi="標楷體" w:hint="eastAsia"/>
                <w:sz w:val="27"/>
                <w:szCs w:val="27"/>
              </w:rPr>
              <w:t>如</w:t>
            </w:r>
            <w:r w:rsidRPr="00BB5ABD">
              <w:rPr>
                <w:rFonts w:ascii="標楷體" w:eastAsia="標楷體" w:hAnsi="標楷體"/>
                <w:sz w:val="27"/>
                <w:szCs w:val="27"/>
              </w:rPr>
              <w:t>口腔問題；潔牙用具無法為學童準備，學童每日潔牙習慣不良，更不 會有看牙習慣，使口腔細菌滋生，口腔問題日趨惡化。在視力方面，即使在 校檢查出視力不良狀況，家長也會因各種因素無法配合帶學童就醫看診，亦 或是家庭經濟因素無力讓學童配鏡。營養部份也無法指導學童有正確的飲食 觀念，在個人、家庭與社區環境的影響下，貧困對學童不僅影響身心健康， 還包括心理、行為與發展等面向。</w:t>
            </w:r>
            <w:r w:rsidR="00B10170" w:rsidRPr="00BB5ABD">
              <w:rPr>
                <w:rFonts w:ascii="標楷體" w:eastAsia="標楷體" w:hAnsi="標楷體" w:cs="標楷體" w:hint="eastAsia"/>
                <w:color w:val="000000"/>
                <w:sz w:val="27"/>
                <w:szCs w:val="27"/>
              </w:rPr>
              <w:t xml:space="preserve"> </w:t>
            </w:r>
          </w:p>
          <w:p w:rsidR="00BB5ABD" w:rsidRDefault="00344D13" w:rsidP="00344D13">
            <w:pPr>
              <w:pStyle w:val="ae"/>
              <w:spacing w:line="400" w:lineRule="auto"/>
              <w:ind w:leftChars="0" w:left="720"/>
              <w:rPr>
                <w:rFonts w:ascii="標楷體" w:eastAsia="標楷體" w:hAnsi="標楷體" w:cs="Times New Roman"/>
                <w:color w:val="000000"/>
                <w:sz w:val="27"/>
                <w:szCs w:val="27"/>
              </w:rPr>
            </w:pPr>
            <w:r>
              <w:rPr>
                <w:rFonts w:ascii="Times New Roman" w:hAnsi="Times New Roman" w:cs="Times New Roman"/>
                <w:color w:val="000000"/>
                <w:sz w:val="27"/>
                <w:szCs w:val="27"/>
              </w:rPr>
              <w:t>二、</w:t>
            </w:r>
            <w:r>
              <w:rPr>
                <w:rFonts w:ascii="Times New Roman" w:hAnsi="Times New Roman" w:cs="Times New Roman"/>
                <w:color w:val="000000"/>
                <w:sz w:val="27"/>
                <w:szCs w:val="27"/>
              </w:rPr>
              <w:t xml:space="preserve"> </w:t>
            </w:r>
            <w:r w:rsidRPr="00344D13">
              <w:rPr>
                <w:rFonts w:ascii="標楷體" w:eastAsia="標楷體" w:hAnsi="標楷體" w:cs="Times New Roman"/>
                <w:color w:val="000000"/>
                <w:sz w:val="27"/>
                <w:szCs w:val="27"/>
              </w:rPr>
              <w:t>貧困學童健檢異常矯治健康管理係根據學生的家庭狀況及瞭解其身心適應能力，依個別差異來決定合適的健康服務及衛生教育需求，進而提高學習效率，提高學童自我健康照顧能力甚至影響家庭健康功能。</w:t>
            </w:r>
          </w:p>
          <w:p w:rsidR="00BB5ABD" w:rsidRDefault="00344D13" w:rsidP="00344D13">
            <w:pPr>
              <w:pStyle w:val="ae"/>
              <w:spacing w:line="400" w:lineRule="auto"/>
              <w:ind w:leftChars="0" w:left="720"/>
              <w:rPr>
                <w:rFonts w:ascii="標楷體" w:eastAsia="標楷體" w:hAnsi="標楷體" w:cs="Times New Roman"/>
                <w:color w:val="000000"/>
                <w:sz w:val="27"/>
                <w:szCs w:val="27"/>
              </w:rPr>
            </w:pPr>
            <w:r w:rsidRPr="00344D13">
              <w:rPr>
                <w:rFonts w:ascii="標楷體" w:eastAsia="標楷體" w:hAnsi="標楷體" w:cs="Times New Roman"/>
                <w:color w:val="000000"/>
                <w:sz w:val="27"/>
                <w:szCs w:val="27"/>
              </w:rPr>
              <w:t xml:space="preserve"> 三、 112學年度學生健康檢查本校貧困學生檢查異常情形 </w:t>
            </w:r>
          </w:p>
          <w:p w:rsidR="00C52690" w:rsidRDefault="00BB5ABD" w:rsidP="00344D13">
            <w:pPr>
              <w:pStyle w:val="ae"/>
              <w:spacing w:line="400" w:lineRule="auto"/>
              <w:ind w:leftChars="0" w:left="720"/>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sidR="00344D13" w:rsidRPr="00344D13">
              <w:rPr>
                <w:rFonts w:ascii="標楷體" w:eastAsia="標楷體" w:hAnsi="標楷體" w:cs="Times New Roman"/>
                <w:color w:val="000000"/>
                <w:sz w:val="27"/>
                <w:szCs w:val="27"/>
              </w:rPr>
              <w:t>（一）視力不良：異常人數</w:t>
            </w:r>
            <w:r>
              <w:rPr>
                <w:rFonts w:ascii="標楷體" w:eastAsia="標楷體" w:hAnsi="標楷體" w:cs="Times New Roman" w:hint="eastAsia"/>
                <w:color w:val="000000"/>
                <w:sz w:val="27"/>
                <w:szCs w:val="27"/>
              </w:rPr>
              <w:t>1</w:t>
            </w:r>
            <w:r w:rsidR="00344D13" w:rsidRPr="00344D13">
              <w:rPr>
                <w:rFonts w:ascii="標楷體" w:eastAsia="標楷體" w:hAnsi="標楷體" w:cs="Times New Roman"/>
                <w:color w:val="000000"/>
                <w:sz w:val="27"/>
                <w:szCs w:val="27"/>
              </w:rPr>
              <w:t xml:space="preserve">人。 </w:t>
            </w:r>
          </w:p>
          <w:p w:rsidR="00BB5ABD" w:rsidRPr="00344D13" w:rsidRDefault="00BB5ABD" w:rsidP="00344D13">
            <w:pPr>
              <w:pStyle w:val="ae"/>
              <w:spacing w:line="400" w:lineRule="auto"/>
              <w:ind w:leftChars="0" w:left="720"/>
              <w:rPr>
                <w:rFonts w:ascii="標楷體" w:eastAsia="標楷體" w:hAnsi="標楷體" w:cs="標楷體"/>
                <w:color w:val="000000"/>
                <w:sz w:val="28"/>
                <w:szCs w:val="28"/>
              </w:rPr>
            </w:pPr>
            <w:r>
              <w:rPr>
                <w:rFonts w:eastAsia="標楷體" w:hint="eastAsia"/>
                <w:color w:val="000000"/>
              </w:rPr>
              <w:t xml:space="preserve">                            </w:t>
            </w:r>
            <w:r>
              <w:rPr>
                <w:rFonts w:eastAsia="標楷體" w:hint="eastAsia"/>
                <w:color w:val="000000"/>
              </w:rPr>
              <w:t>一年四班</w:t>
            </w:r>
            <w:r>
              <w:rPr>
                <w:rFonts w:eastAsia="標楷體" w:hint="eastAsia"/>
                <w:color w:val="000000"/>
              </w:rPr>
              <w:t xml:space="preserve">    </w:t>
            </w:r>
            <w:r>
              <w:rPr>
                <w:rFonts w:eastAsia="標楷體"/>
                <w:color w:val="000000"/>
              </w:rPr>
              <w:t>王</w:t>
            </w:r>
            <w:proofErr w:type="gramStart"/>
            <w:r>
              <w:rPr>
                <w:rFonts w:eastAsia="標楷體"/>
                <w:color w:val="000000"/>
              </w:rPr>
              <w:t>萓萱</w:t>
            </w:r>
            <w:proofErr w:type="gramEnd"/>
            <w:r>
              <w:rPr>
                <w:rFonts w:eastAsia="標楷體" w:hint="eastAsia"/>
                <w:color w:val="000000"/>
              </w:rPr>
              <w:t>。</w:t>
            </w:r>
          </w:p>
        </w:tc>
      </w:tr>
      <w:tr w:rsidR="00260467" w:rsidTr="00260467">
        <w:trPr>
          <w:cantSplit/>
          <w:trHeight w:val="1661"/>
          <w:jc w:val="center"/>
        </w:trPr>
        <w:tc>
          <w:tcPr>
            <w:tcW w:w="988" w:type="dxa"/>
            <w:tcBorders>
              <w:top w:val="single" w:sz="4" w:space="0" w:color="000000"/>
              <w:left w:val="single" w:sz="4" w:space="0" w:color="000000"/>
              <w:right w:val="single" w:sz="4" w:space="0" w:color="000000"/>
            </w:tcBorders>
            <w:vAlign w:val="center"/>
          </w:tcPr>
          <w:p w:rsidR="00260467" w:rsidRDefault="00260467" w:rsidP="00A843B7">
            <w:pPr>
              <w:spacing w:line="400" w:lineRule="auto"/>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具體策略</w:t>
            </w:r>
          </w:p>
        </w:tc>
        <w:tc>
          <w:tcPr>
            <w:tcW w:w="7545" w:type="dxa"/>
            <w:tcBorders>
              <w:top w:val="single" w:sz="4" w:space="0" w:color="000000"/>
              <w:left w:val="single" w:sz="4" w:space="0" w:color="000000"/>
            </w:tcBorders>
            <w:vAlign w:val="center"/>
          </w:tcPr>
          <w:p w:rsidR="00BB5ABD" w:rsidRPr="007B5358" w:rsidRDefault="00BB5ABD" w:rsidP="00BB5ABD">
            <w:pPr>
              <w:spacing w:line="400" w:lineRule="auto"/>
              <w:rPr>
                <w:rFonts w:ascii="標楷體" w:eastAsia="標楷體" w:hAnsi="標楷體" w:cs="Times New Roman"/>
                <w:color w:val="000000"/>
                <w:sz w:val="27"/>
                <w:szCs w:val="27"/>
              </w:rPr>
            </w:pPr>
            <w:r w:rsidRPr="007B5358">
              <w:rPr>
                <w:rFonts w:ascii="標楷體" w:eastAsia="標楷體" w:hAnsi="標楷體" w:cs="Times New Roman"/>
                <w:color w:val="000000"/>
                <w:sz w:val="27"/>
                <w:szCs w:val="27"/>
              </w:rPr>
              <w:t xml:space="preserve"> </w:t>
            </w:r>
            <w:r w:rsidRPr="007B5358">
              <w:rPr>
                <w:rFonts w:ascii="標楷體" w:eastAsia="標楷體" w:hAnsi="標楷體" w:cs="Times New Roman"/>
                <w:color w:val="000000"/>
                <w:sz w:val="27"/>
                <w:szCs w:val="27"/>
              </w:rPr>
              <w:t xml:space="preserve">一、 撰寫貧困學生健檢異常追蹤矯治健康管理計畫，申請相關經費 協助學童就醫複診矯治及安排相關教育活動。 </w:t>
            </w:r>
          </w:p>
          <w:p w:rsidR="00BB5ABD" w:rsidRPr="007B5358" w:rsidRDefault="00BB5ABD" w:rsidP="00BB5ABD">
            <w:pPr>
              <w:spacing w:line="400" w:lineRule="auto"/>
              <w:rPr>
                <w:rFonts w:ascii="標楷體" w:eastAsia="標楷體" w:hAnsi="標楷體" w:cs="Times New Roman"/>
                <w:color w:val="000000"/>
                <w:sz w:val="27"/>
                <w:szCs w:val="27"/>
              </w:rPr>
            </w:pPr>
            <w:r w:rsidRPr="007B5358">
              <w:rPr>
                <w:rFonts w:ascii="標楷體" w:eastAsia="標楷體" w:hAnsi="標楷體" w:cs="Times New Roman"/>
                <w:color w:val="000000"/>
                <w:sz w:val="27"/>
                <w:szCs w:val="27"/>
              </w:rPr>
              <w:t>二、 瞭解及掌握貧困學生的生長發育、健康狀況及健康維護的需求。 收集學生資料向全校教職員說明建立共識，掌握貧困學生人 數，針對貧困學生需求為導向，造冊管理提供健康輔導協助。</w:t>
            </w:r>
          </w:p>
          <w:p w:rsidR="00BB5ABD" w:rsidRPr="007B5358" w:rsidRDefault="00BB5ABD" w:rsidP="00BB5ABD">
            <w:pPr>
              <w:spacing w:line="400" w:lineRule="auto"/>
              <w:rPr>
                <w:rFonts w:ascii="標楷體" w:eastAsia="標楷體" w:hAnsi="標楷體" w:cs="Times New Roman"/>
                <w:color w:val="000000"/>
                <w:sz w:val="27"/>
                <w:szCs w:val="27"/>
              </w:rPr>
            </w:pPr>
            <w:r w:rsidRPr="007B5358">
              <w:rPr>
                <w:rFonts w:ascii="標楷體" w:eastAsia="標楷體" w:hAnsi="標楷體" w:cs="Times New Roman"/>
                <w:color w:val="000000"/>
                <w:sz w:val="27"/>
                <w:szCs w:val="27"/>
              </w:rPr>
              <w:t>三、早期發現學童潛在性或現存的健康問題，執行預防性或個別性 的健康指導計畫，運用持續性、系統性健康照護計畫方式給予 個別性的健康服務。</w:t>
            </w:r>
          </w:p>
          <w:p w:rsidR="00BB5ABD" w:rsidRPr="007B5358" w:rsidRDefault="00BB5ABD" w:rsidP="00BB5ABD">
            <w:pPr>
              <w:spacing w:line="400" w:lineRule="auto"/>
              <w:rPr>
                <w:rFonts w:ascii="標楷體" w:eastAsia="標楷體" w:hAnsi="標楷體" w:cs="Times New Roman"/>
                <w:color w:val="000000"/>
                <w:sz w:val="27"/>
                <w:szCs w:val="27"/>
              </w:rPr>
            </w:pPr>
            <w:r w:rsidRPr="007B5358">
              <w:rPr>
                <w:rFonts w:ascii="標楷體" w:eastAsia="標楷體" w:hAnsi="標楷體" w:cs="Times New Roman"/>
                <w:color w:val="000000"/>
                <w:sz w:val="27"/>
                <w:szCs w:val="27"/>
              </w:rPr>
              <w:t xml:space="preserve"> 四、 運用完整的記錄了解學生生長發育、家庭狀況及瞭解其身心 適應能力，依個別差異提供合適的健康服務及處理結果並長期追 </w:t>
            </w:r>
            <w:proofErr w:type="gramStart"/>
            <w:r w:rsidRPr="007B5358">
              <w:rPr>
                <w:rFonts w:ascii="標楷體" w:eastAsia="標楷體" w:hAnsi="標楷體" w:cs="Times New Roman"/>
                <w:color w:val="000000"/>
                <w:sz w:val="27"/>
                <w:szCs w:val="27"/>
              </w:rPr>
              <w:t>蹤</w:t>
            </w:r>
            <w:proofErr w:type="gramEnd"/>
            <w:r w:rsidRPr="007B5358">
              <w:rPr>
                <w:rFonts w:ascii="標楷體" w:eastAsia="標楷體" w:hAnsi="標楷體" w:cs="Times New Roman"/>
                <w:color w:val="000000"/>
                <w:sz w:val="27"/>
                <w:szCs w:val="27"/>
              </w:rPr>
              <w:t>輔導矯治。</w:t>
            </w:r>
          </w:p>
          <w:p w:rsidR="00BB5ABD" w:rsidRPr="007B5358" w:rsidRDefault="00BB5ABD" w:rsidP="00BB5ABD">
            <w:pPr>
              <w:spacing w:line="400" w:lineRule="auto"/>
              <w:rPr>
                <w:rFonts w:ascii="標楷體" w:eastAsia="標楷體" w:hAnsi="標楷體" w:cs="Times New Roman"/>
                <w:color w:val="000000"/>
                <w:sz w:val="27"/>
                <w:szCs w:val="27"/>
              </w:rPr>
            </w:pPr>
            <w:r w:rsidRPr="007B5358">
              <w:rPr>
                <w:rFonts w:ascii="標楷體" w:eastAsia="標楷體" w:hAnsi="標楷體" w:cs="Times New Roman"/>
                <w:color w:val="000000"/>
                <w:sz w:val="27"/>
                <w:szCs w:val="27"/>
              </w:rPr>
              <w:t xml:space="preserve"> 五、 分析學童特殊需求，尊重學生個人，針對身有特殊需求的學 生給予個別諮商，落實健康教學，改善健康問題。</w:t>
            </w:r>
          </w:p>
          <w:p w:rsidR="00BB5ABD" w:rsidRPr="007B5358" w:rsidRDefault="00BB5ABD" w:rsidP="00BB5ABD">
            <w:pPr>
              <w:spacing w:line="400" w:lineRule="auto"/>
              <w:rPr>
                <w:rFonts w:ascii="標楷體" w:eastAsia="標楷體" w:hAnsi="標楷體" w:cs="Times New Roman" w:hint="eastAsia"/>
                <w:color w:val="000000"/>
                <w:sz w:val="27"/>
                <w:szCs w:val="27"/>
              </w:rPr>
            </w:pPr>
            <w:r w:rsidRPr="007B5358">
              <w:rPr>
                <w:rFonts w:ascii="標楷體" w:eastAsia="標楷體" w:hAnsi="標楷體" w:cs="Times New Roman"/>
                <w:color w:val="000000"/>
                <w:sz w:val="27"/>
                <w:szCs w:val="27"/>
              </w:rPr>
              <w:t xml:space="preserve"> 六、 發放通知單請家長協助帶學生就醫及複診，依收據金額實支給付看診費用，最高不超過設限</w:t>
            </w:r>
            <w:r w:rsidRPr="007B5358">
              <w:rPr>
                <w:rFonts w:ascii="標楷體" w:eastAsia="標楷體" w:hAnsi="標楷體" w:cs="Times New Roman" w:hint="eastAsia"/>
                <w:color w:val="000000"/>
                <w:sz w:val="27"/>
                <w:szCs w:val="27"/>
              </w:rPr>
              <w:t>。</w:t>
            </w:r>
          </w:p>
          <w:p w:rsidR="00260467" w:rsidRPr="007B5358" w:rsidRDefault="00260467" w:rsidP="00BB5ABD">
            <w:pPr>
              <w:spacing w:line="400" w:lineRule="auto"/>
              <w:rPr>
                <w:rFonts w:ascii="標楷體" w:eastAsia="標楷體" w:hAnsi="標楷體" w:cs="標楷體" w:hint="eastAsia"/>
                <w:color w:val="000000"/>
                <w:sz w:val="28"/>
                <w:szCs w:val="28"/>
              </w:rPr>
            </w:pPr>
          </w:p>
        </w:tc>
      </w:tr>
      <w:tr w:rsidR="00C52690" w:rsidTr="007B5358">
        <w:trPr>
          <w:cantSplit/>
          <w:trHeight w:val="1935"/>
          <w:jc w:val="center"/>
        </w:trPr>
        <w:tc>
          <w:tcPr>
            <w:tcW w:w="988" w:type="dxa"/>
            <w:tcBorders>
              <w:top w:val="single" w:sz="4" w:space="0" w:color="000000"/>
              <w:bottom w:val="single" w:sz="4" w:space="0" w:color="000000"/>
            </w:tcBorders>
            <w:vAlign w:val="center"/>
          </w:tcPr>
          <w:p w:rsidR="00C52690" w:rsidRDefault="00260467">
            <w:pPr>
              <w:ind w:left="113" w:right="113"/>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lastRenderedPageBreak/>
              <w:t>實施成果</w:t>
            </w:r>
          </w:p>
        </w:tc>
        <w:tc>
          <w:tcPr>
            <w:tcW w:w="7545" w:type="dxa"/>
            <w:tcBorders>
              <w:top w:val="single" w:sz="4" w:space="0" w:color="000000"/>
              <w:bottom w:val="single" w:sz="4" w:space="0" w:color="000000"/>
            </w:tcBorders>
            <w:vAlign w:val="center"/>
          </w:tcPr>
          <w:p w:rsidR="00C52690" w:rsidRPr="007B5358" w:rsidRDefault="00BB5ABD" w:rsidP="007B5358">
            <w:pPr>
              <w:spacing w:line="400" w:lineRule="auto"/>
              <w:jc w:val="both"/>
              <w:rPr>
                <w:rFonts w:ascii="標楷體" w:eastAsia="標楷體" w:hAnsi="標楷體" w:cs="標楷體"/>
                <w:b/>
                <w:color w:val="000000"/>
                <w:sz w:val="28"/>
                <w:szCs w:val="28"/>
              </w:rPr>
            </w:pPr>
            <w:r w:rsidRPr="007B5358">
              <w:rPr>
                <w:rFonts w:ascii="標楷體" w:eastAsia="標楷體" w:hAnsi="標楷體" w:cs="Times New Roman" w:hint="eastAsia"/>
                <w:color w:val="000000"/>
                <w:sz w:val="27"/>
                <w:szCs w:val="27"/>
              </w:rPr>
              <w:t>每學期與各班</w:t>
            </w:r>
            <w:r w:rsidRPr="007B5358">
              <w:rPr>
                <w:rFonts w:ascii="標楷體" w:eastAsia="標楷體" w:hAnsi="標楷體" w:cs="Times New Roman"/>
                <w:color w:val="000000"/>
                <w:sz w:val="27"/>
                <w:szCs w:val="27"/>
              </w:rPr>
              <w:t>導師</w:t>
            </w:r>
            <w:r w:rsidRPr="007B5358">
              <w:rPr>
                <w:rFonts w:ascii="標楷體" w:eastAsia="標楷體" w:hAnsi="標楷體" w:cs="Times New Roman" w:hint="eastAsia"/>
                <w:color w:val="000000"/>
                <w:sz w:val="27"/>
                <w:szCs w:val="27"/>
              </w:rPr>
              <w:t>連</w:t>
            </w:r>
            <w:proofErr w:type="gramStart"/>
            <w:r w:rsidRPr="007B5358">
              <w:rPr>
                <w:rFonts w:ascii="標楷體" w:eastAsia="標楷體" w:hAnsi="標楷體" w:cs="Times New Roman" w:hint="eastAsia"/>
                <w:color w:val="000000"/>
                <w:sz w:val="27"/>
                <w:szCs w:val="27"/>
              </w:rPr>
              <w:t>繫</w:t>
            </w:r>
            <w:proofErr w:type="gramEnd"/>
            <w:r w:rsidRPr="007B5358">
              <w:rPr>
                <w:rFonts w:ascii="標楷體" w:eastAsia="標楷體" w:hAnsi="標楷體" w:cs="Times New Roman" w:hint="eastAsia"/>
                <w:color w:val="000000"/>
                <w:sz w:val="27"/>
                <w:szCs w:val="27"/>
              </w:rPr>
              <w:t>，請導師</w:t>
            </w:r>
            <w:r w:rsidRPr="007B5358">
              <w:rPr>
                <w:rFonts w:ascii="標楷體" w:eastAsia="標楷體" w:hAnsi="標楷體" w:cs="Times New Roman"/>
                <w:color w:val="000000"/>
                <w:sz w:val="27"/>
                <w:szCs w:val="27"/>
              </w:rPr>
              <w:t>協助提報貧困學生名單</w:t>
            </w:r>
            <w:r w:rsidRPr="007B5358">
              <w:rPr>
                <w:rFonts w:ascii="標楷體" w:eastAsia="標楷體" w:hAnsi="標楷體" w:cs="Times New Roman" w:hint="eastAsia"/>
                <w:color w:val="000000"/>
                <w:sz w:val="27"/>
                <w:szCs w:val="27"/>
              </w:rPr>
              <w:t>，</w:t>
            </w:r>
            <w:r w:rsidRPr="007B5358">
              <w:rPr>
                <w:rFonts w:ascii="標楷體" w:eastAsia="標楷體" w:hAnsi="標楷體" w:cs="Times New Roman"/>
                <w:color w:val="000000"/>
                <w:sz w:val="27"/>
                <w:szCs w:val="27"/>
              </w:rPr>
              <w:t>家長經過健康中心電訪及班導師解說後願意配合學校相關政策，健康中心也適時與家長溝通，來增強家庭的健康功能，學生的健康照護除了受到家庭的影響，也間接影響了學習態度及學業成就；落實協助因家庭因素</w:t>
            </w:r>
            <w:r w:rsidRPr="007B5358">
              <w:rPr>
                <w:rFonts w:ascii="標楷體" w:eastAsia="標楷體" w:hAnsi="標楷體" w:cs="Times New Roman"/>
                <w:color w:val="000000"/>
                <w:sz w:val="27"/>
                <w:szCs w:val="27"/>
              </w:rPr>
              <w:t>無法提供適時的健康照護或缺點矯治，對學生及家庭皆有很大幫助，視力不良學童家長配合意願高，眼科門診就醫</w:t>
            </w:r>
            <w:r w:rsidRPr="007B5358">
              <w:rPr>
                <w:rFonts w:ascii="標楷體" w:eastAsia="標楷體" w:hAnsi="標楷體" w:cs="Times New Roman"/>
                <w:color w:val="000000"/>
                <w:sz w:val="27"/>
                <w:szCs w:val="27"/>
              </w:rPr>
              <w:t>完成配鏡，並提醒家長須</w:t>
            </w:r>
            <w:r w:rsidR="007B5358" w:rsidRPr="007B5358">
              <w:rPr>
                <w:rFonts w:ascii="標楷體" w:eastAsia="標楷體" w:hAnsi="標楷體" w:cs="Times New Roman" w:hint="eastAsia"/>
                <w:color w:val="000000"/>
                <w:sz w:val="27"/>
                <w:szCs w:val="27"/>
              </w:rPr>
              <w:t>定期至</w:t>
            </w:r>
            <w:r w:rsidRPr="007B5358">
              <w:rPr>
                <w:rFonts w:ascii="標楷體" w:eastAsia="標楷體" w:hAnsi="標楷體" w:cs="Times New Roman"/>
                <w:color w:val="000000"/>
                <w:sz w:val="27"/>
                <w:szCs w:val="27"/>
              </w:rPr>
              <w:t>眼科就診檢查再配眼鏡之正確觀念</w:t>
            </w:r>
            <w:r w:rsidR="007B5358" w:rsidRPr="007B5358">
              <w:rPr>
                <w:rFonts w:ascii="標楷體" w:eastAsia="標楷體" w:hAnsi="標楷體" w:cs="Times New Roman"/>
                <w:color w:val="000000"/>
                <w:sz w:val="27"/>
                <w:szCs w:val="27"/>
              </w:rPr>
              <w:t>，適逢醫師建議配鏡矯治</w:t>
            </w:r>
            <w:r w:rsidRPr="007B5358">
              <w:rPr>
                <w:rFonts w:ascii="標楷體" w:eastAsia="標楷體" w:hAnsi="標楷體" w:cs="Times New Roman"/>
                <w:color w:val="000000"/>
                <w:sz w:val="27"/>
                <w:szCs w:val="27"/>
              </w:rPr>
              <w:t>。</w:t>
            </w:r>
          </w:p>
        </w:tc>
      </w:tr>
      <w:tr w:rsidR="007B5358" w:rsidTr="00260467">
        <w:trPr>
          <w:cantSplit/>
          <w:trHeight w:val="1935"/>
          <w:jc w:val="center"/>
        </w:trPr>
        <w:tc>
          <w:tcPr>
            <w:tcW w:w="988" w:type="dxa"/>
            <w:tcBorders>
              <w:top w:val="single" w:sz="4" w:space="0" w:color="000000"/>
            </w:tcBorders>
            <w:vAlign w:val="center"/>
          </w:tcPr>
          <w:p w:rsidR="007B5358" w:rsidRDefault="007B5358">
            <w:pPr>
              <w:ind w:left="113" w:right="113"/>
              <w:jc w:val="center"/>
              <w:rPr>
                <w:rFonts w:ascii="標楷體" w:eastAsia="標楷體" w:hAnsi="標楷體" w:cs="標楷體" w:hint="eastAsia"/>
                <w:color w:val="000000"/>
                <w:sz w:val="28"/>
                <w:szCs w:val="28"/>
              </w:rPr>
            </w:pPr>
            <w:r>
              <w:rPr>
                <w:rFonts w:ascii="標楷體" w:eastAsia="標楷體" w:hAnsi="標楷體" w:cs="標楷體"/>
                <w:b/>
                <w:sz w:val="28"/>
                <w:szCs w:val="28"/>
              </w:rPr>
              <w:t>檢討及建議</w:t>
            </w:r>
          </w:p>
        </w:tc>
        <w:tc>
          <w:tcPr>
            <w:tcW w:w="7545" w:type="dxa"/>
            <w:tcBorders>
              <w:top w:val="single" w:sz="4" w:space="0" w:color="000000"/>
            </w:tcBorders>
            <w:vAlign w:val="center"/>
          </w:tcPr>
          <w:p w:rsidR="007B5358" w:rsidRPr="007B5358" w:rsidRDefault="007B5358" w:rsidP="007B5358">
            <w:pPr>
              <w:pStyle w:val="Web"/>
              <w:spacing w:line="401" w:lineRule="auto"/>
              <w:rPr>
                <w:rFonts w:ascii="標楷體" w:eastAsia="標楷體" w:hAnsi="標楷體" w:cs="Times New Roman"/>
                <w:color w:val="000000"/>
                <w:sz w:val="27"/>
                <w:szCs w:val="27"/>
              </w:rPr>
            </w:pPr>
            <w:r w:rsidRPr="007B5358">
              <w:rPr>
                <w:rFonts w:ascii="標楷體" w:eastAsia="標楷體" w:hAnsi="標楷體" w:cs="Times New Roman"/>
                <w:color w:val="000000"/>
                <w:sz w:val="27"/>
                <w:szCs w:val="27"/>
              </w:rPr>
              <w:t>很多家庭因為經濟關係無法提供適時的健康照護或缺點矯治之學童，加上現在</w:t>
            </w:r>
            <w:r w:rsidRPr="007B5358">
              <w:rPr>
                <w:rFonts w:ascii="標楷體" w:eastAsia="標楷體" w:hAnsi="標楷體" w:cs="Times New Roman" w:hint="eastAsia"/>
                <w:color w:val="000000"/>
                <w:sz w:val="27"/>
                <w:szCs w:val="27"/>
              </w:rPr>
              <w:t>單親家庭、</w:t>
            </w:r>
            <w:r w:rsidRPr="007B5358">
              <w:rPr>
                <w:rFonts w:ascii="標楷體" w:eastAsia="標楷體" w:hAnsi="標楷體" w:cs="Times New Roman"/>
                <w:color w:val="000000"/>
                <w:sz w:val="27"/>
                <w:szCs w:val="27"/>
              </w:rPr>
              <w:t>隔代教養、新住民配偶…等狀況，這些原因也都導致學生檢查異常複診達成率偏低,此外家長對於視力保健常識欠佳, 仍需給予加強視力保健知識，</w:t>
            </w:r>
            <w:proofErr w:type="gramStart"/>
            <w:r w:rsidRPr="007B5358">
              <w:rPr>
                <w:rFonts w:ascii="標楷體" w:eastAsia="標楷體" w:hAnsi="標楷體" w:cs="Times New Roman"/>
                <w:color w:val="000000"/>
                <w:sz w:val="27"/>
                <w:szCs w:val="27"/>
              </w:rPr>
              <w:t>並請班導師</w:t>
            </w:r>
            <w:proofErr w:type="gramEnd"/>
            <w:r w:rsidRPr="007B5358">
              <w:rPr>
                <w:rFonts w:ascii="標楷體" w:eastAsia="標楷體" w:hAnsi="標楷體" w:cs="Times New Roman"/>
                <w:color w:val="000000"/>
                <w:sz w:val="27"/>
                <w:szCs w:val="27"/>
              </w:rPr>
              <w:t>配合健康中心不定時提醒家長</w:t>
            </w:r>
            <w:r w:rsidRPr="007B5358">
              <w:rPr>
                <w:rFonts w:ascii="標楷體" w:eastAsia="標楷體" w:hAnsi="標楷體" w:cs="Times New Roman" w:hint="eastAsia"/>
                <w:color w:val="000000"/>
                <w:sz w:val="27"/>
                <w:szCs w:val="27"/>
              </w:rPr>
              <w:t>，</w:t>
            </w:r>
            <w:r w:rsidRPr="007B5358">
              <w:rPr>
                <w:rFonts w:ascii="標楷體" w:eastAsia="標楷體" w:hAnsi="標楷體" w:cs="Times New Roman"/>
                <w:color w:val="000000"/>
                <w:sz w:val="27"/>
                <w:szCs w:val="27"/>
              </w:rPr>
              <w:t>在家中避免安排孩子從事長時間近距離用眼的學習，適度限制孩子近距離用眼時間、增加戶</w:t>
            </w:r>
            <w:r w:rsidRPr="007B5358">
              <w:rPr>
                <w:rFonts w:ascii="標楷體" w:eastAsia="標楷體" w:hAnsi="標楷體" w:cs="Times New Roman"/>
                <w:color w:val="000000"/>
                <w:sz w:val="27"/>
                <w:szCs w:val="27"/>
              </w:rPr>
              <w:t>外活動的安排，一旦發現異常，可及早進行矯治避免視力惡化。</w:t>
            </w:r>
            <w:r w:rsidRPr="007B5358">
              <w:rPr>
                <w:rFonts w:ascii="標楷體" w:eastAsia="標楷體" w:hAnsi="標楷體" w:cs="Times New Roman"/>
                <w:color w:val="000000"/>
                <w:sz w:val="27"/>
                <w:szCs w:val="27"/>
              </w:rPr>
              <w:t>家長</w:t>
            </w:r>
            <w:r w:rsidRPr="007B5358">
              <w:rPr>
                <w:rFonts w:ascii="標楷體" w:eastAsia="標楷體" w:hAnsi="標楷體" w:cs="Times New Roman" w:hint="eastAsia"/>
                <w:color w:val="000000"/>
                <w:sz w:val="27"/>
                <w:szCs w:val="27"/>
              </w:rPr>
              <w:t>經過學校護理人員及導師的關懷下，</w:t>
            </w:r>
            <w:r w:rsidRPr="007B5358">
              <w:rPr>
                <w:rFonts w:ascii="標楷體" w:eastAsia="標楷體" w:hAnsi="標楷體" w:cs="Times New Roman"/>
                <w:color w:val="000000"/>
                <w:sz w:val="27"/>
                <w:szCs w:val="27"/>
              </w:rPr>
              <w:t>配合度</w:t>
            </w:r>
            <w:r w:rsidRPr="007B5358">
              <w:rPr>
                <w:rFonts w:ascii="標楷體" w:eastAsia="標楷體" w:hAnsi="標楷體" w:cs="Times New Roman" w:hint="eastAsia"/>
                <w:color w:val="000000"/>
                <w:sz w:val="27"/>
                <w:szCs w:val="27"/>
              </w:rPr>
              <w:t>相對提高</w:t>
            </w:r>
            <w:r w:rsidRPr="007B5358">
              <w:rPr>
                <w:rFonts w:ascii="標楷體" w:eastAsia="標楷體" w:hAnsi="標楷體" w:cs="Times New Roman"/>
                <w:color w:val="000000"/>
                <w:sz w:val="27"/>
                <w:szCs w:val="27"/>
              </w:rPr>
              <w:t>,</w:t>
            </w:r>
            <w:r w:rsidRPr="007B5358">
              <w:rPr>
                <w:rFonts w:ascii="標楷體" w:eastAsia="標楷體" w:hAnsi="標楷體" w:cs="Times New Roman" w:hint="eastAsia"/>
                <w:color w:val="000000"/>
                <w:sz w:val="27"/>
                <w:szCs w:val="27"/>
              </w:rPr>
              <w:t>盡量</w:t>
            </w:r>
            <w:r w:rsidRPr="007B5358">
              <w:rPr>
                <w:rFonts w:ascii="標楷體" w:eastAsia="標楷體" w:hAnsi="標楷體" w:cs="Times New Roman"/>
                <w:color w:val="000000"/>
                <w:sz w:val="27"/>
                <w:szCs w:val="27"/>
              </w:rPr>
              <w:t>在家中對於規範使用3C</w:t>
            </w:r>
            <w:r w:rsidRPr="007B5358">
              <w:rPr>
                <w:rFonts w:ascii="標楷體" w:eastAsia="標楷體" w:hAnsi="標楷體" w:cs="Times New Roman"/>
                <w:color w:val="000000"/>
                <w:sz w:val="27"/>
                <w:szCs w:val="27"/>
              </w:rPr>
              <w:t>產品</w:t>
            </w:r>
            <w:r w:rsidRPr="007B5358">
              <w:rPr>
                <w:rFonts w:ascii="標楷體" w:eastAsia="標楷體" w:hAnsi="標楷體" w:cs="Times New Roman" w:hint="eastAsia"/>
                <w:color w:val="000000"/>
                <w:sz w:val="27"/>
                <w:szCs w:val="27"/>
              </w:rPr>
              <w:t>執行</w:t>
            </w:r>
            <w:proofErr w:type="gramStart"/>
            <w:r w:rsidRPr="007B5358">
              <w:rPr>
                <w:rFonts w:ascii="標楷體" w:eastAsia="標楷體" w:hAnsi="標楷體" w:cs="Times New Roman" w:hint="eastAsia"/>
                <w:color w:val="000000"/>
                <w:sz w:val="27"/>
                <w:szCs w:val="27"/>
              </w:rPr>
              <w:t>較弱外</w:t>
            </w:r>
            <w:proofErr w:type="gramEnd"/>
            <w:r w:rsidRPr="007B5358">
              <w:rPr>
                <w:rFonts w:ascii="標楷體" w:eastAsia="標楷體" w:hAnsi="標楷體" w:cs="Times New Roman"/>
                <w:color w:val="000000"/>
                <w:sz w:val="27"/>
                <w:szCs w:val="27"/>
              </w:rPr>
              <w:t>,</w:t>
            </w:r>
            <w:r w:rsidRPr="007B5358">
              <w:rPr>
                <w:rFonts w:ascii="標楷體" w:eastAsia="標楷體" w:hAnsi="標楷體" w:cs="Times New Roman"/>
                <w:color w:val="000000"/>
                <w:sz w:val="27"/>
                <w:szCs w:val="27"/>
              </w:rPr>
              <w:t>希望家長能努力</w:t>
            </w:r>
            <w:r w:rsidRPr="007B5358">
              <w:rPr>
                <w:rFonts w:ascii="標楷體" w:eastAsia="標楷體" w:hAnsi="標楷體" w:cs="Times New Roman"/>
                <w:color w:val="000000"/>
                <w:sz w:val="27"/>
                <w:szCs w:val="27"/>
              </w:rPr>
              <w:t>並多花一些時間在小孩身上，也才不會辜負</w:t>
            </w:r>
            <w:r w:rsidRPr="007B5358">
              <w:rPr>
                <w:rFonts w:ascii="標楷體" w:eastAsia="標楷體" w:hAnsi="標楷體" w:cs="Times New Roman" w:hint="eastAsia"/>
                <w:color w:val="000000"/>
                <w:sz w:val="27"/>
                <w:szCs w:val="27"/>
              </w:rPr>
              <w:t>學校與</w:t>
            </w:r>
            <w:r w:rsidRPr="007B5358">
              <w:rPr>
                <w:rFonts w:ascii="標楷體" w:eastAsia="標楷體" w:hAnsi="標楷體" w:cs="Times New Roman"/>
                <w:color w:val="000000"/>
                <w:sz w:val="27"/>
                <w:szCs w:val="27"/>
              </w:rPr>
              <w:t>新竹市政府照顧弱勢家庭的美意</w:t>
            </w:r>
            <w:r w:rsidRPr="007B5358">
              <w:rPr>
                <w:rFonts w:ascii="標楷體" w:eastAsia="標楷體" w:hAnsi="標楷體" w:cs="Times New Roman" w:hint="eastAsia"/>
                <w:color w:val="000000"/>
                <w:sz w:val="27"/>
                <w:szCs w:val="27"/>
              </w:rPr>
              <w:t>。</w:t>
            </w:r>
          </w:p>
          <w:p w:rsidR="007B5358" w:rsidRPr="007B5358" w:rsidRDefault="007B5358" w:rsidP="007B5358">
            <w:pPr>
              <w:spacing w:line="400" w:lineRule="auto"/>
              <w:jc w:val="both"/>
              <w:rPr>
                <w:rFonts w:ascii="Times New Roman" w:hAnsi="Times New Roman" w:cs="Times New Roman" w:hint="eastAsia"/>
                <w:color w:val="000000"/>
                <w:sz w:val="27"/>
                <w:szCs w:val="27"/>
              </w:rPr>
            </w:pPr>
          </w:p>
        </w:tc>
      </w:tr>
    </w:tbl>
    <w:p w:rsidR="00C52690" w:rsidRDefault="002F5704">
      <w:pPr>
        <w:spacing w:before="120" w:line="276" w:lineRule="auto"/>
        <w:rPr>
          <w:rFonts w:ascii="標楷體" w:eastAsia="標楷體" w:hAnsi="標楷體" w:cs="標楷體"/>
          <w:b/>
          <w:sz w:val="28"/>
          <w:szCs w:val="28"/>
        </w:rPr>
      </w:pPr>
      <w:r>
        <w:rPr>
          <w:rFonts w:ascii="標楷體" w:eastAsia="標楷體" w:hAnsi="標楷體" w:cs="標楷體"/>
          <w:b/>
          <w:sz w:val="28"/>
          <w:szCs w:val="28"/>
        </w:rPr>
        <w:t>：</w:t>
      </w:r>
    </w:p>
    <w:p w:rsidR="00C52690" w:rsidRDefault="00C52690">
      <w:pPr>
        <w:widowControl/>
        <w:spacing w:line="276" w:lineRule="auto"/>
        <w:rPr>
          <w:rFonts w:ascii="標楷體" w:eastAsia="標楷體" w:hAnsi="標楷體" w:cs="標楷體"/>
          <w:sz w:val="22"/>
          <w:szCs w:val="22"/>
        </w:rPr>
      </w:pPr>
    </w:p>
    <w:p w:rsidR="00C52690" w:rsidRDefault="00C52690">
      <w:pPr>
        <w:widowControl/>
        <w:spacing w:line="276" w:lineRule="auto"/>
        <w:rPr>
          <w:rFonts w:ascii="標楷體" w:eastAsia="標楷體" w:hAnsi="標楷體" w:cs="標楷體"/>
          <w:sz w:val="22"/>
          <w:szCs w:val="22"/>
        </w:rPr>
      </w:pPr>
    </w:p>
    <w:p w:rsidR="00C52690" w:rsidRDefault="00C52690">
      <w:pPr>
        <w:widowControl/>
        <w:spacing w:line="276" w:lineRule="auto"/>
        <w:rPr>
          <w:rFonts w:ascii="標楷體" w:eastAsia="標楷體" w:hAnsi="標楷體" w:cs="標楷體"/>
          <w:sz w:val="22"/>
          <w:szCs w:val="22"/>
        </w:rPr>
      </w:pPr>
    </w:p>
    <w:p w:rsidR="00C52690" w:rsidRDefault="00C52690">
      <w:pPr>
        <w:widowControl/>
        <w:spacing w:line="276" w:lineRule="auto"/>
        <w:rPr>
          <w:rFonts w:ascii="標楷體" w:eastAsia="標楷體" w:hAnsi="標楷體" w:cs="標楷體"/>
          <w:sz w:val="22"/>
          <w:szCs w:val="22"/>
        </w:rPr>
      </w:pPr>
    </w:p>
    <w:p w:rsidR="00C52690" w:rsidRDefault="00C52690">
      <w:pPr>
        <w:widowControl/>
        <w:spacing w:line="276" w:lineRule="auto"/>
        <w:rPr>
          <w:rFonts w:ascii="標楷體" w:eastAsia="標楷體" w:hAnsi="標楷體" w:cs="標楷體"/>
          <w:sz w:val="22"/>
          <w:szCs w:val="22"/>
        </w:rPr>
      </w:pPr>
    </w:p>
    <w:p w:rsidR="00C52690" w:rsidRDefault="00C52690">
      <w:pPr>
        <w:widowControl/>
        <w:spacing w:line="276" w:lineRule="auto"/>
        <w:rPr>
          <w:rFonts w:ascii="標楷體" w:eastAsia="標楷體" w:hAnsi="標楷體" w:cs="標楷體"/>
          <w:sz w:val="22"/>
          <w:szCs w:val="22"/>
        </w:rPr>
      </w:pPr>
    </w:p>
    <w:tbl>
      <w:tblPr>
        <w:tblStyle w:val="ad"/>
        <w:tblW w:w="83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1"/>
        <w:gridCol w:w="4181"/>
      </w:tblGrid>
      <w:tr w:rsidR="00C52690">
        <w:trPr>
          <w:trHeight w:val="2555"/>
        </w:trPr>
        <w:tc>
          <w:tcPr>
            <w:tcW w:w="4181" w:type="dxa"/>
          </w:tcPr>
          <w:p w:rsidR="00C52690" w:rsidRDefault="002F5704">
            <w:pPr>
              <w:rPr>
                <w:rFonts w:ascii="標楷體" w:eastAsia="標楷體" w:hAnsi="標楷體" w:cs="標楷體"/>
                <w:color w:val="FF0000"/>
                <w:sz w:val="28"/>
                <w:szCs w:val="28"/>
              </w:rPr>
            </w:pPr>
            <w:r>
              <w:rPr>
                <w:rFonts w:ascii="標楷體" w:eastAsia="標楷體" w:hAnsi="標楷體" w:cs="標楷體"/>
                <w:color w:val="FF0000"/>
                <w:sz w:val="28"/>
                <w:szCs w:val="28"/>
              </w:rPr>
              <w:t>照片</w:t>
            </w:r>
            <w:r>
              <w:rPr>
                <w:rFonts w:ascii="標楷體" w:eastAsia="標楷體" w:hAnsi="標楷體" w:cs="標楷體"/>
                <w:color w:val="FF0000"/>
                <w:sz w:val="28"/>
                <w:szCs w:val="28"/>
              </w:rPr>
              <w:t>1</w:t>
            </w:r>
            <w:r w:rsidR="007D68C3">
              <w:rPr>
                <w:noProof/>
              </w:rPr>
              <w:t xml:space="preserve"> </w:t>
            </w:r>
            <w:r w:rsidR="007D68C3">
              <w:rPr>
                <w:noProof/>
              </w:rPr>
              <w:drawing>
                <wp:inline distT="0" distB="0" distL="0" distR="0" wp14:anchorId="3C648774" wp14:editId="43E08EE2">
                  <wp:extent cx="2428571" cy="3028571"/>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28571" cy="3028571"/>
                          </a:xfrm>
                          <a:prstGeom prst="rect">
                            <a:avLst/>
                          </a:prstGeom>
                        </pic:spPr>
                      </pic:pic>
                    </a:graphicData>
                  </a:graphic>
                </wp:inline>
              </w:drawing>
            </w:r>
          </w:p>
        </w:tc>
        <w:tc>
          <w:tcPr>
            <w:tcW w:w="4181" w:type="dxa"/>
          </w:tcPr>
          <w:p w:rsidR="00C52690" w:rsidRDefault="002F5704">
            <w:pPr>
              <w:rPr>
                <w:rFonts w:ascii="標楷體" w:eastAsia="標楷體" w:hAnsi="標楷體" w:cs="標楷體"/>
                <w:color w:val="FF0000"/>
                <w:sz w:val="28"/>
                <w:szCs w:val="28"/>
              </w:rPr>
            </w:pPr>
            <w:r>
              <w:rPr>
                <w:rFonts w:ascii="標楷體" w:eastAsia="標楷體" w:hAnsi="標楷體" w:cs="標楷體"/>
                <w:color w:val="FF0000"/>
                <w:sz w:val="28"/>
                <w:szCs w:val="28"/>
              </w:rPr>
              <w:t>照片</w:t>
            </w:r>
            <w:r>
              <w:rPr>
                <w:rFonts w:ascii="標楷體" w:eastAsia="標楷體" w:hAnsi="標楷體" w:cs="標楷體"/>
                <w:color w:val="FF0000"/>
                <w:sz w:val="28"/>
                <w:szCs w:val="28"/>
              </w:rPr>
              <w:t>2</w:t>
            </w:r>
          </w:p>
          <w:p w:rsidR="007D68C3" w:rsidRDefault="007D68C3">
            <w:pPr>
              <w:rPr>
                <w:rFonts w:ascii="標楷體" w:eastAsia="標楷體" w:hAnsi="標楷體" w:cs="標楷體"/>
                <w:color w:val="FF0000"/>
                <w:sz w:val="28"/>
                <w:szCs w:val="28"/>
              </w:rPr>
            </w:pPr>
            <w:r>
              <w:rPr>
                <w:noProof/>
              </w:rPr>
              <w:drawing>
                <wp:inline distT="0" distB="0" distL="0" distR="0" wp14:anchorId="0A535439" wp14:editId="1A4043A1">
                  <wp:extent cx="2457143" cy="3257143"/>
                  <wp:effectExtent l="0" t="0" r="635" b="63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57143" cy="3257143"/>
                          </a:xfrm>
                          <a:prstGeom prst="rect">
                            <a:avLst/>
                          </a:prstGeom>
                        </pic:spPr>
                      </pic:pic>
                    </a:graphicData>
                  </a:graphic>
                </wp:inline>
              </w:drawing>
            </w:r>
          </w:p>
        </w:tc>
      </w:tr>
      <w:tr w:rsidR="007D68C3">
        <w:tc>
          <w:tcPr>
            <w:tcW w:w="4181" w:type="dxa"/>
          </w:tcPr>
          <w:p w:rsidR="007D68C3" w:rsidRDefault="007D68C3" w:rsidP="007D68C3">
            <w:pPr>
              <w:rPr>
                <w:rFonts w:ascii="標楷體" w:eastAsia="標楷體" w:hAnsi="標楷體" w:cs="標楷體"/>
                <w:color w:val="FF0000"/>
                <w:sz w:val="28"/>
                <w:szCs w:val="28"/>
              </w:rPr>
            </w:pPr>
            <w:r>
              <w:rPr>
                <w:rFonts w:ascii="標楷體" w:eastAsia="標楷體" w:hAnsi="標楷體" w:cs="標楷體"/>
                <w:color w:val="FF0000"/>
                <w:sz w:val="28"/>
                <w:szCs w:val="28"/>
              </w:rPr>
              <w:t>照片</w:t>
            </w:r>
            <w:r>
              <w:rPr>
                <w:rFonts w:ascii="標楷體" w:eastAsia="標楷體" w:hAnsi="標楷體" w:cs="標楷體" w:hint="eastAsia"/>
                <w:color w:val="FF0000"/>
                <w:sz w:val="28"/>
                <w:szCs w:val="28"/>
              </w:rPr>
              <w:t>1特殊疾病</w:t>
            </w:r>
          </w:p>
          <w:p w:rsidR="007D68C3" w:rsidRDefault="007D68C3" w:rsidP="007D68C3">
            <w:pPr>
              <w:rPr>
                <w:rFonts w:eastAsia="標楷體"/>
                <w:color w:val="000000"/>
              </w:rPr>
            </w:pPr>
            <w:r>
              <w:rPr>
                <w:rFonts w:eastAsia="標楷體"/>
                <w:color w:val="000000"/>
              </w:rPr>
              <w:t>高度遠視</w:t>
            </w:r>
            <w:proofErr w:type="gramStart"/>
            <w:r>
              <w:rPr>
                <w:rFonts w:eastAsia="標楷體"/>
                <w:color w:val="000000"/>
              </w:rPr>
              <w:t>雙眼約</w:t>
            </w:r>
            <w:r>
              <w:rPr>
                <w:rFonts w:eastAsia="標楷體"/>
                <w:color w:val="000000"/>
              </w:rPr>
              <w:t>800</w:t>
            </w:r>
            <w:r>
              <w:rPr>
                <w:rFonts w:eastAsia="標楷體"/>
                <w:color w:val="000000"/>
              </w:rPr>
              <w:t>度</w:t>
            </w:r>
            <w:proofErr w:type="gramEnd"/>
          </w:p>
          <w:p w:rsidR="007D68C3" w:rsidRDefault="007D68C3" w:rsidP="007D68C3">
            <w:pPr>
              <w:rPr>
                <w:rFonts w:eastAsia="標楷體"/>
                <w:color w:val="000000"/>
              </w:rPr>
            </w:pPr>
          </w:p>
        </w:tc>
        <w:tc>
          <w:tcPr>
            <w:tcW w:w="4181" w:type="dxa"/>
          </w:tcPr>
          <w:p w:rsidR="007D68C3" w:rsidRDefault="007D68C3" w:rsidP="007D68C3">
            <w:pPr>
              <w:rPr>
                <w:rFonts w:ascii="標楷體" w:eastAsia="標楷體" w:hAnsi="標楷體" w:cs="標楷體"/>
                <w:color w:val="FF0000"/>
                <w:sz w:val="28"/>
                <w:szCs w:val="28"/>
              </w:rPr>
            </w:pPr>
            <w:r>
              <w:rPr>
                <w:rFonts w:ascii="標楷體" w:eastAsia="標楷體" w:hAnsi="標楷體" w:cs="標楷體"/>
                <w:color w:val="FF0000"/>
                <w:sz w:val="28"/>
                <w:szCs w:val="28"/>
              </w:rPr>
              <w:t>照片2</w:t>
            </w:r>
            <w:r>
              <w:rPr>
                <w:rFonts w:ascii="標楷體" w:eastAsia="標楷體" w:hAnsi="標楷體" w:cs="標楷體" w:hint="eastAsia"/>
                <w:color w:val="FF0000"/>
                <w:sz w:val="28"/>
                <w:szCs w:val="28"/>
              </w:rPr>
              <w:t>學生健康管理</w:t>
            </w:r>
          </w:p>
          <w:p w:rsidR="007D68C3" w:rsidRDefault="007D68C3" w:rsidP="007D68C3">
            <w:pPr>
              <w:rPr>
                <w:rFonts w:ascii="標楷體" w:eastAsia="標楷體" w:hAnsi="標楷體" w:cs="標楷體"/>
                <w:color w:val="FF0000"/>
                <w:sz w:val="28"/>
                <w:szCs w:val="28"/>
              </w:rPr>
            </w:pPr>
            <w:r>
              <w:rPr>
                <w:rFonts w:eastAsia="標楷體"/>
                <w:color w:val="000000"/>
                <w:u w:val="single"/>
              </w:rPr>
              <w:t>視力正常</w:t>
            </w:r>
            <w:r>
              <w:rPr>
                <w:rFonts w:eastAsia="標楷體"/>
                <w:color w:val="000000"/>
                <w:u w:val="single"/>
              </w:rPr>
              <w:t>:</w:t>
            </w:r>
            <w:r>
              <w:rPr>
                <w:rFonts w:eastAsia="標楷體"/>
                <w:color w:val="000000"/>
                <w:u w:val="single"/>
              </w:rPr>
              <w:t>右眼</w:t>
            </w:r>
            <w:r>
              <w:rPr>
                <w:rFonts w:eastAsia="標楷體"/>
                <w:color w:val="000000"/>
                <w:u w:val="single"/>
              </w:rPr>
              <w:t>0.3</w:t>
            </w:r>
            <w:r>
              <w:rPr>
                <w:rFonts w:eastAsia="標楷體"/>
                <w:color w:val="000000"/>
                <w:u w:val="single"/>
              </w:rPr>
              <w:t>左眼</w:t>
            </w:r>
            <w:r>
              <w:rPr>
                <w:rFonts w:eastAsia="標楷體"/>
                <w:color w:val="000000"/>
                <w:u w:val="single"/>
              </w:rPr>
              <w:t>0.2</w:t>
            </w:r>
          </w:p>
        </w:tc>
      </w:tr>
    </w:tbl>
    <w:p w:rsidR="00C52690" w:rsidRDefault="00C52690">
      <w:pPr>
        <w:rPr>
          <w:rFonts w:ascii="標楷體" w:eastAsia="標楷體" w:hAnsi="標楷體" w:cs="標楷體"/>
        </w:rPr>
      </w:pPr>
      <w:bookmarkStart w:id="0" w:name="_GoBack"/>
      <w:bookmarkEnd w:id="0"/>
    </w:p>
    <w:sectPr w:rsidR="00C52690">
      <w:pgSz w:w="11906" w:h="16838"/>
      <w:pgMar w:top="1440" w:right="1800" w:bottom="1440" w:left="18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E3B4A"/>
    <w:multiLevelType w:val="hybridMultilevel"/>
    <w:tmpl w:val="73A84DEE"/>
    <w:lvl w:ilvl="0" w:tplc="A13E5A44">
      <w:start w:val="1"/>
      <w:numFmt w:val="taiwaneseCountingThousand"/>
      <w:lvlText w:val="%1、"/>
      <w:lvlJc w:val="left"/>
      <w:pPr>
        <w:ind w:left="720" w:hanging="720"/>
      </w:pPr>
      <w:rPr>
        <w:rFonts w:ascii="Calibri" w:eastAsiaTheme="minorEastAsia" w:hAnsi="Calibri" w:cs="Calibri"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690"/>
    <w:rsid w:val="00260467"/>
    <w:rsid w:val="00344D13"/>
    <w:rsid w:val="00655AB3"/>
    <w:rsid w:val="007B5358"/>
    <w:rsid w:val="007D68C3"/>
    <w:rsid w:val="00887F84"/>
    <w:rsid w:val="00B10170"/>
    <w:rsid w:val="00BB5ABD"/>
    <w:rsid w:val="00C526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7A35"/>
  <w15:docId w15:val="{F77F00EE-295D-44B4-A50D-C2EC45AF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semiHidden/>
    <w:unhideWhenUsed/>
    <w:rsid w:val="001C4DA6"/>
    <w:pPr>
      <w:tabs>
        <w:tab w:val="center" w:pos="4153"/>
        <w:tab w:val="right" w:pos="8306"/>
      </w:tabs>
      <w:snapToGrid w:val="0"/>
    </w:pPr>
    <w:rPr>
      <w:sz w:val="20"/>
      <w:szCs w:val="20"/>
    </w:rPr>
  </w:style>
  <w:style w:type="character" w:customStyle="1" w:styleId="a5">
    <w:name w:val="頁首 字元"/>
    <w:basedOn w:val="a0"/>
    <w:link w:val="a4"/>
    <w:uiPriority w:val="99"/>
    <w:semiHidden/>
    <w:rsid w:val="001C4DA6"/>
    <w:rPr>
      <w:sz w:val="20"/>
      <w:szCs w:val="20"/>
    </w:rPr>
  </w:style>
  <w:style w:type="paragraph" w:styleId="a6">
    <w:name w:val="footer"/>
    <w:basedOn w:val="a"/>
    <w:link w:val="a7"/>
    <w:uiPriority w:val="99"/>
    <w:semiHidden/>
    <w:unhideWhenUsed/>
    <w:rsid w:val="001C4DA6"/>
    <w:pPr>
      <w:tabs>
        <w:tab w:val="center" w:pos="4153"/>
        <w:tab w:val="right" w:pos="8306"/>
      </w:tabs>
      <w:snapToGrid w:val="0"/>
    </w:pPr>
    <w:rPr>
      <w:sz w:val="20"/>
      <w:szCs w:val="20"/>
    </w:rPr>
  </w:style>
  <w:style w:type="character" w:customStyle="1" w:styleId="a7">
    <w:name w:val="頁尾 字元"/>
    <w:basedOn w:val="a0"/>
    <w:link w:val="a6"/>
    <w:uiPriority w:val="99"/>
    <w:semiHidden/>
    <w:rsid w:val="001C4DA6"/>
    <w:rPr>
      <w:sz w:val="20"/>
      <w:szCs w:val="20"/>
    </w:rPr>
  </w:style>
  <w:style w:type="table" w:styleId="a8">
    <w:name w:val="Table Grid"/>
    <w:basedOn w:val="a1"/>
    <w:uiPriority w:val="59"/>
    <w:rsid w:val="001C4D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top w:w="0" w:type="dxa"/>
        <w:left w:w="28" w:type="dxa"/>
        <w:bottom w:w="0" w:type="dxa"/>
        <w:right w:w="28" w:type="dxa"/>
      </w:tblCellMar>
    </w:tblPr>
  </w:style>
  <w:style w:type="table" w:customStyle="1" w:styleId="ab">
    <w:basedOn w:val="TableNormal0"/>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CellMar>
        <w:top w:w="0" w:type="dxa"/>
        <w:left w:w="108" w:type="dxa"/>
        <w:bottom w:w="0" w:type="dxa"/>
        <w:right w:w="108" w:type="dxa"/>
      </w:tblCellMar>
    </w:tblPr>
  </w:style>
  <w:style w:type="paragraph" w:styleId="ae">
    <w:name w:val="List Paragraph"/>
    <w:basedOn w:val="a"/>
    <w:uiPriority w:val="34"/>
    <w:qFormat/>
    <w:rsid w:val="00344D13"/>
    <w:pPr>
      <w:ind w:leftChars="200" w:left="480"/>
    </w:pPr>
  </w:style>
  <w:style w:type="paragraph" w:styleId="Web">
    <w:name w:val="Normal (Web)"/>
    <w:basedOn w:val="a"/>
    <w:uiPriority w:val="99"/>
    <w:semiHidden/>
    <w:unhideWhenUsed/>
    <w:rsid w:val="007B5358"/>
    <w:pPr>
      <w:widowControl/>
      <w:spacing w:before="100" w:beforeAutospacing="1" w:after="100" w:afterAutospacing="1"/>
    </w:pPr>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44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6LWw70DL9LQGqZQQiUHb3OLcGKw==">AMUW2mWVHyi2klFYMJHUcFTuf9PEb3Ahiplqmimv5nKVuz6WG8FrGvNL2p3N/KqV8RJ5BWv8Kj/eIMwV1B5htKAMiIioIAcwiIMSO/C0zwoYt3BmHjzhLFfBktkS4ONRuVGOo1FuDZGU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2024-06-12T09:39:00Z</dcterms:created>
  <dcterms:modified xsi:type="dcterms:W3CDTF">2024-06-12T09:39:00Z</dcterms:modified>
</cp:coreProperties>
</file>